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GRUPO VIDANTA CELEBRA TODOS LOS DÍAS, EL DÍA DE LA TIERRA, CON PROGRAMAS E INICIATIVAS VERDES EN SUS DESARROLLOS</w:t>
      </w:r>
    </w:p>
    <w:p w:rsidR="00000000" w:rsidDel="00000000" w:rsidP="00000000" w:rsidRDefault="00000000" w:rsidRPr="00000000" w14:paraId="0000000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uso de tecnologías eficientes y programas de reciclaje y composta, son solo algunas de las acciones que Grupo Vidanta ha implementado en todos sus complejos para la conservación del agua y la energía, así como para la protección de la flora y fauna locales.</w:t>
      </w:r>
    </w:p>
    <w:p w:rsidR="00000000" w:rsidDel="00000000" w:rsidP="00000000" w:rsidRDefault="00000000" w:rsidRPr="00000000" w14:paraId="0000000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b w:val="1"/>
          <w:rtl w:val="0"/>
        </w:rPr>
        <w:t xml:space="preserve">Ciudad de México, a </w:t>
      </w:r>
      <w:r w:rsidDel="00000000" w:rsidR="00000000" w:rsidRPr="00000000">
        <w:rPr>
          <w:rFonts w:ascii="Century Gothic" w:cs="Century Gothic" w:eastAsia="Century Gothic" w:hAnsi="Century Gothic"/>
          <w:b w:val="1"/>
          <w:rtl w:val="0"/>
        </w:rPr>
        <w:t xml:space="preserve">14 </w:t>
      </w:r>
      <w:r w:rsidDel="00000000" w:rsidR="00000000" w:rsidRPr="00000000">
        <w:rPr>
          <w:rFonts w:ascii="Century Gothic" w:cs="Century Gothic" w:eastAsia="Century Gothic" w:hAnsi="Century Gothic"/>
          <w:b w:val="1"/>
          <w:rtl w:val="0"/>
        </w:rPr>
        <w:t xml:space="preserve">de abril de 2020.–</w:t>
      </w:r>
      <w:r w:rsidDel="00000000" w:rsidR="00000000" w:rsidRPr="00000000">
        <w:rPr>
          <w:rFonts w:ascii="Century Gothic" w:cs="Century Gothic" w:eastAsia="Century Gothic" w:hAnsi="Century Gothic"/>
          <w:rtl w:val="0"/>
        </w:rPr>
        <w:t xml:space="preserve"> A lo largo de su historia, Grupo Vidanta –desarrollador líder de </w:t>
      </w:r>
      <w:r w:rsidDel="00000000" w:rsidR="00000000" w:rsidRPr="00000000">
        <w:rPr>
          <w:rFonts w:ascii="Century Gothic" w:cs="Century Gothic" w:eastAsia="Century Gothic" w:hAnsi="Century Gothic"/>
          <w:i w:val="1"/>
          <w:rtl w:val="0"/>
        </w:rPr>
        <w:t xml:space="preserve">resorts</w:t>
      </w:r>
      <w:r w:rsidDel="00000000" w:rsidR="00000000" w:rsidRPr="00000000">
        <w:rPr>
          <w:rFonts w:ascii="Century Gothic" w:cs="Century Gothic" w:eastAsia="Century Gothic" w:hAnsi="Century Gothic"/>
          <w:rtl w:val="0"/>
        </w:rPr>
        <w:t xml:space="preserve"> e infraestructuras turísticas y de entretenimiento en México y Latinoamérica– ha implementado una serie de programas e iniciativas que refuerzan su constante compromiso con la protección del medio ambiente y la promoción de la belleza natural de México.</w:t>
      </w:r>
    </w:p>
    <w:p w:rsidR="00000000" w:rsidDel="00000000" w:rsidP="00000000" w:rsidRDefault="00000000" w:rsidRPr="00000000" w14:paraId="00000007">
      <w:pPr>
        <w:jc w:val="both"/>
        <w:rPr>
          <w:rFonts w:ascii="Century Gothic" w:cs="Century Gothic" w:eastAsia="Century Gothic" w:hAnsi="Century Gothic"/>
        </w:rPr>
      </w:pPr>
      <w:bookmarkStart w:colFirst="0" w:colLast="0" w:name="_heading=h.m9ve3obzp0di" w:id="1"/>
      <w:bookmarkEnd w:id="1"/>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rPr>
      </w:pPr>
      <w:bookmarkStart w:colFirst="0" w:colLast="0" w:name="_heading=h.pspd1pchgtkr" w:id="2"/>
      <w:bookmarkEnd w:id="2"/>
      <w:r w:rsidDel="00000000" w:rsidR="00000000" w:rsidRPr="00000000">
        <w:rPr>
          <w:rFonts w:ascii="Century Gothic" w:cs="Century Gothic" w:eastAsia="Century Gothic" w:hAnsi="Century Gothic"/>
          <w:rtl w:val="0"/>
        </w:rPr>
        <w:t xml:space="preserve">En el marco de la celebración del Día Internacional de la Madre Tierra, y con desarrollos turísticos situados en las playas más hermosas del país y del mundo, algunos de los programas e iniciativas que Grupo Vidanta ha implementado para la preservación y la protección del medio ambiente, los recursos naturales y la vida silvestre, incluyen:</w:t>
      </w:r>
    </w:p>
    <w:p w:rsidR="00000000" w:rsidDel="00000000" w:rsidP="00000000" w:rsidRDefault="00000000" w:rsidRPr="00000000" w14:paraId="0000000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Conservación del agua. </w:t>
      </w:r>
      <w:r w:rsidDel="00000000" w:rsidR="00000000" w:rsidRPr="00000000">
        <w:rPr>
          <w:rFonts w:ascii="Century Gothic" w:cs="Century Gothic" w:eastAsia="Century Gothic" w:hAnsi="Century Gothic"/>
          <w:rtl w:val="0"/>
        </w:rPr>
        <w:t xml:space="preserve">Grupo Vidanta ha instalado plantas de tratamiento de aguas residuales prácticamente en todos sus desarrollos, las cuales han permitido reutilizar, del 2014 al 2019, más de 24 millones de litros agua; lo que equivale a abastecer a 181,633 hogares al año (cálculo realizado con base en el consumo promedio de 380 litros de agua por día).</w:t>
      </w:r>
    </w:p>
    <w:p w:rsidR="00000000" w:rsidDel="00000000" w:rsidP="00000000" w:rsidRDefault="00000000" w:rsidRPr="00000000" w14:paraId="0000000B">
      <w:pPr>
        <w:ind w:left="72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Conservación de la energía</w:t>
      </w:r>
      <w:r w:rsidDel="00000000" w:rsidR="00000000" w:rsidRPr="00000000">
        <w:rPr>
          <w:rFonts w:ascii="Century Gothic" w:cs="Century Gothic" w:eastAsia="Century Gothic" w:hAnsi="Century Gothic"/>
          <w:rtl w:val="0"/>
        </w:rPr>
        <w:t xml:space="preserve">. A través de la implementación de nuevas tecnologías en todas sus propiedades, Grupo Vidanta ha logrado ahorrar 7 millones de KWH cada año y tan solo en el 2019, produjo alrededor de 6.1 millones de KWH gracias a sus más de 12,000 paneles solares, suficiente energía para abastecer a 47 hogares al año, aproximadamente.</w:t>
      </w:r>
    </w:p>
    <w:p w:rsidR="00000000" w:rsidDel="00000000" w:rsidP="00000000" w:rsidRDefault="00000000" w:rsidRPr="00000000" w14:paraId="0000000D">
      <w:pPr>
        <w:ind w:left="72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Minimizar la huella de carbono</w:t>
      </w:r>
      <w:r w:rsidDel="00000000" w:rsidR="00000000" w:rsidRPr="00000000">
        <w:rPr>
          <w:rFonts w:ascii="Century Gothic" w:cs="Century Gothic" w:eastAsia="Century Gothic" w:hAnsi="Century Gothic"/>
          <w:rtl w:val="0"/>
        </w:rPr>
        <w:t xml:space="preserve">. Durante el 2019, Grupo Vidanta redujo sus emisiones de carbono en 1.5 millones de toneladas como resultado de sus esfuerzos de conservación, la gestión de los ecosistemas y el uso de nuevas tecnologías de alta eficiencia.</w:t>
      </w:r>
    </w:p>
    <w:p w:rsidR="00000000" w:rsidDel="00000000" w:rsidP="00000000" w:rsidRDefault="00000000" w:rsidRPr="00000000" w14:paraId="0000000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Preservación de los ecosistemas marinos</w:t>
      </w:r>
      <w:r w:rsidDel="00000000" w:rsidR="00000000" w:rsidRPr="00000000">
        <w:rPr>
          <w:rFonts w:ascii="Century Gothic" w:cs="Century Gothic" w:eastAsia="Century Gothic" w:hAnsi="Century Gothic"/>
          <w:rtl w:val="0"/>
        </w:rPr>
        <w:t xml:space="preserve">. Para prevenir los daños que se producen en la Riviera Maya y sus playas con la llegada del sargazo, el año pasado Grupo Vidanta puso en marcha un proyecto para su eliminación, el cual le ha permitido recolectar 3,578 toneladas de dicha alga marina mediante operaciones manuales y con la instalación de un sistema de barrera.</w:t>
      </w:r>
    </w:p>
    <w:p w:rsidR="00000000" w:rsidDel="00000000" w:rsidP="00000000" w:rsidRDefault="00000000" w:rsidRPr="00000000" w14:paraId="00000011">
      <w:pPr>
        <w:ind w:left="72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Conservación de la vida silvestre</w:t>
      </w:r>
      <w:r w:rsidDel="00000000" w:rsidR="00000000" w:rsidRPr="00000000">
        <w:rPr>
          <w:rFonts w:ascii="Century Gothic" w:cs="Century Gothic" w:eastAsia="Century Gothic" w:hAnsi="Century Gothic"/>
          <w:rtl w:val="0"/>
        </w:rPr>
        <w:t xml:space="preserve">. Desde el 2012, Grupo Vidanta ha rescatado más de 8,000 animales –incluyendo 40 especies en peligro de extinción– y más de 2.5 millones de tortugas marinas han sido liberadas en el océano.</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rFonts w:ascii="Century Gothic" w:cs="Century Gothic" w:eastAsia="Century Gothic" w:hAnsi="Century Gothic"/>
          <w:color w:val="000000"/>
          <w:highlight w:val="white"/>
        </w:rPr>
      </w:pPr>
      <w:bookmarkStart w:colFirst="0" w:colLast="0" w:name="_heading=h.1fob9te" w:id="3"/>
      <w:bookmarkEnd w:id="3"/>
      <w:r w:rsidDel="00000000" w:rsidR="00000000" w:rsidRPr="00000000">
        <w:rPr>
          <w:rFonts w:ascii="Century Gothic" w:cs="Century Gothic" w:eastAsia="Century Gothic" w:hAnsi="Century Gothic"/>
          <w:b w:val="1"/>
          <w:rtl w:val="0"/>
        </w:rPr>
        <w:t xml:space="preserve">‘</w:t>
      </w:r>
      <w:r w:rsidDel="00000000" w:rsidR="00000000" w:rsidRPr="00000000">
        <w:rPr>
          <w:rFonts w:ascii="Century Gothic" w:cs="Century Gothic" w:eastAsia="Century Gothic" w:hAnsi="Century Gothic"/>
          <w:b w:val="1"/>
          <w:i w:val="1"/>
          <w:rtl w:val="0"/>
        </w:rPr>
        <w:t xml:space="preserve">Isla de los pájaros</w:t>
      </w:r>
      <w:r w:rsidDel="00000000" w:rsidR="00000000" w:rsidRPr="00000000">
        <w:rPr>
          <w:rFonts w:ascii="Century Gothic" w:cs="Century Gothic" w:eastAsia="Century Gothic" w:hAnsi="Century Gothic"/>
          <w:b w:val="1"/>
          <w:rtl w:val="0"/>
        </w:rPr>
        <w:t xml:space="preserv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color w:val="000000"/>
          <w:highlight w:val="white"/>
          <w:rtl w:val="0"/>
        </w:rPr>
        <w:t xml:space="preserve">Con más de 40 hectáreas y situada en la desembocadura del río Ameca, dentro del complejo Vidanta Nuevo Vallarta, la ‘</w:t>
      </w:r>
      <w:r w:rsidDel="00000000" w:rsidR="00000000" w:rsidRPr="00000000">
        <w:rPr>
          <w:rFonts w:ascii="Century Gothic" w:cs="Century Gothic" w:eastAsia="Century Gothic" w:hAnsi="Century Gothic"/>
          <w:i w:val="1"/>
          <w:color w:val="000000"/>
          <w:highlight w:val="white"/>
          <w:rtl w:val="0"/>
        </w:rPr>
        <w:t xml:space="preserve">Isla de los pájaros</w:t>
      </w:r>
      <w:r w:rsidDel="00000000" w:rsidR="00000000" w:rsidRPr="00000000">
        <w:rPr>
          <w:rFonts w:ascii="Century Gothic" w:cs="Century Gothic" w:eastAsia="Century Gothic" w:hAnsi="Century Gothic"/>
          <w:color w:val="000000"/>
          <w:highlight w:val="white"/>
          <w:rtl w:val="0"/>
        </w:rPr>
        <w:t xml:space="preserve">’ es protegida y preservada por Grupo Vidanta desde hace 11 años. Dentro de la flora y fauna protegidas se encuentran el manglar rojo (Rhizophora mangle), el manglar blanco (Laguncularia racemosa) y mangle botoncillo (Conocarpus erectus).</w:t>
      </w:r>
    </w:p>
    <w:p w:rsidR="00000000" w:rsidDel="00000000" w:rsidP="00000000" w:rsidRDefault="00000000" w:rsidRPr="00000000" w14:paraId="00000015">
      <w:pPr>
        <w:ind w:left="72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Protección de la vegetación. </w:t>
      </w:r>
      <w:r w:rsidDel="00000000" w:rsidR="00000000" w:rsidRPr="00000000">
        <w:rPr>
          <w:rFonts w:ascii="Century Gothic" w:cs="Century Gothic" w:eastAsia="Century Gothic" w:hAnsi="Century Gothic"/>
          <w:rtl w:val="0"/>
        </w:rPr>
        <w:t xml:space="preserve">Entre el 2007 y el 2019, Grupo Vidanta ha rescatado y replantado más de 67,000 árboles, arbustos y cactus en los diferentes destinos en los que opera.</w:t>
      </w:r>
    </w:p>
    <w:p w:rsidR="00000000" w:rsidDel="00000000" w:rsidP="00000000" w:rsidRDefault="00000000" w:rsidRPr="00000000" w14:paraId="00000017">
      <w:pPr>
        <w:ind w:left="72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Reducción de desechos</w:t>
      </w:r>
      <w:r w:rsidDel="00000000" w:rsidR="00000000" w:rsidRPr="00000000">
        <w:rPr>
          <w:rFonts w:ascii="Century Gothic" w:cs="Century Gothic" w:eastAsia="Century Gothic" w:hAnsi="Century Gothic"/>
          <w:rtl w:val="0"/>
        </w:rPr>
        <w:t xml:space="preserve">. El programa de gestión de residuos sólidos urbanos de Grupo Vidanta asegura que el 100 por ciento de los residuos se clasifican manualmente y permite la recuperación y el reciclaje de los inorgánicos, lo que da como resultado más de 7,200 toneladas de composta; lo que se traduce en que el 40 por ciento de los residuos orgánicos han sido compostados del año 2014 al 2018.</w:t>
      </w:r>
    </w:p>
    <w:p w:rsidR="00000000" w:rsidDel="00000000" w:rsidP="00000000" w:rsidRDefault="00000000" w:rsidRPr="00000000" w14:paraId="0000001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"Creemos firmemente que nuestras prácticas deben beneficiar a toda la sociedad y promover un futuro más brillante para las nuevas generaciones. Todos nuestros proyectos han sido diseñados, construidos y operados, utilizando soluciones y programas de conciencia social que son responsables con el medio ambiente y eficientes en la reducción de su impacto", dijo Iván Chávez, vicepresidente ejecutivo de Grupo Vidanta. "A través de nuestro compromiso con la protección y preservación del medio ambiente, tenemos la oportunidad de ser pioneros en el futuro del turismo sostenible y de elevar los estándares de la construcción y el desarrollo inmobiliario socialmente responsables en México, América Latina y en todo el mundo".</w:t>
      </w:r>
    </w:p>
    <w:p w:rsidR="00000000" w:rsidDel="00000000" w:rsidP="00000000" w:rsidRDefault="00000000" w:rsidRPr="00000000" w14:paraId="0000001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compromiso de Grupo Vidanta con la sostenibilidad ambiental y sus esfuerzos para la promoción del desarrollo social, han sido reconocidos por el </w:t>
      </w:r>
      <w:r w:rsidDel="00000000" w:rsidR="00000000" w:rsidRPr="00000000">
        <w:rPr>
          <w:rFonts w:ascii="Century Gothic" w:cs="Century Gothic" w:eastAsia="Century Gothic" w:hAnsi="Century Gothic"/>
          <w:i w:val="1"/>
          <w:rtl w:val="0"/>
        </w:rPr>
        <w:t xml:space="preserve">Centro Mexicano para la Filantropía (CEMEFI)</w:t>
      </w:r>
      <w:r w:rsidDel="00000000" w:rsidR="00000000" w:rsidRPr="00000000">
        <w:rPr>
          <w:rFonts w:ascii="Century Gothic" w:cs="Century Gothic" w:eastAsia="Century Gothic" w:hAnsi="Century Gothic"/>
          <w:rtl w:val="0"/>
        </w:rPr>
        <w:t xml:space="preserve"> con el </w:t>
      </w:r>
      <w:r w:rsidDel="00000000" w:rsidR="00000000" w:rsidRPr="00000000">
        <w:rPr>
          <w:rFonts w:ascii="Century Gothic" w:cs="Century Gothic" w:eastAsia="Century Gothic" w:hAnsi="Century Gothic"/>
          <w:i w:val="1"/>
          <w:rtl w:val="0"/>
        </w:rPr>
        <w:t xml:space="preserve">Distintivo de Empresa Socialmente Responsable </w:t>
      </w:r>
      <w:r w:rsidDel="00000000" w:rsidR="00000000" w:rsidRPr="00000000">
        <w:rPr>
          <w:rFonts w:ascii="Century Gothic" w:cs="Century Gothic" w:eastAsia="Century Gothic" w:hAnsi="Century Gothic"/>
          <w:rtl w:val="0"/>
        </w:rPr>
        <w:t xml:space="preserve">en los años 2018 y 2019. Además, cuenta con la certificación </w:t>
      </w:r>
      <w:r w:rsidDel="00000000" w:rsidR="00000000" w:rsidRPr="00000000">
        <w:rPr>
          <w:rFonts w:ascii="Century Gothic" w:cs="Century Gothic" w:eastAsia="Century Gothic" w:hAnsi="Century Gothic"/>
          <w:i w:val="1"/>
          <w:rtl w:val="0"/>
        </w:rPr>
        <w:t xml:space="preserve">EarthCheck</w:t>
      </w:r>
      <w:r w:rsidDel="00000000" w:rsidR="00000000" w:rsidRPr="00000000">
        <w:rPr>
          <w:rFonts w:ascii="Century Gothic" w:cs="Century Gothic" w:eastAsia="Century Gothic" w:hAnsi="Century Gothic"/>
          <w:rtl w:val="0"/>
        </w:rPr>
        <w:t xml:space="preserve"> en cinco de sus complejos y recientemente, Vidanta Riviera Maya recibió el ‘</w:t>
      </w:r>
      <w:r w:rsidDel="00000000" w:rsidR="00000000" w:rsidRPr="00000000">
        <w:rPr>
          <w:rFonts w:ascii="Century Gothic" w:cs="Century Gothic" w:eastAsia="Century Gothic" w:hAnsi="Century Gothic"/>
          <w:i w:val="1"/>
          <w:rtl w:val="0"/>
        </w:rPr>
        <w:t xml:space="preserve">Master Status</w:t>
      </w:r>
      <w:r w:rsidDel="00000000" w:rsidR="00000000" w:rsidRPr="00000000">
        <w:rPr>
          <w:rFonts w:ascii="Century Gothic" w:cs="Century Gothic" w:eastAsia="Century Gothic" w:hAnsi="Century Gothic"/>
          <w:rtl w:val="0"/>
        </w:rPr>
        <w:t xml:space="preserve">’ por cumplir 15 años de liderazgo ambiental continuo –es el primer desarrollo turístico de México en recibirlo, un reconocimiento que solo poseen 21 propiedades alrededor del mundo–.</w:t>
      </w:r>
    </w:p>
    <w:p w:rsidR="00000000" w:rsidDel="00000000" w:rsidP="00000000" w:rsidRDefault="00000000" w:rsidRPr="00000000" w14:paraId="0000001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Fiel a su misión de inspirar a generaciones de felicidad en sus </w:t>
      </w:r>
      <w:r w:rsidDel="00000000" w:rsidR="00000000" w:rsidRPr="00000000">
        <w:rPr>
          <w:rFonts w:ascii="Century Gothic" w:cs="Century Gothic" w:eastAsia="Century Gothic" w:hAnsi="Century Gothic"/>
          <w:i w:val="1"/>
          <w:rtl w:val="0"/>
        </w:rPr>
        <w:t xml:space="preserve">resorts</w:t>
      </w:r>
      <w:r w:rsidDel="00000000" w:rsidR="00000000" w:rsidRPr="00000000">
        <w:rPr>
          <w:rFonts w:ascii="Century Gothic" w:cs="Century Gothic" w:eastAsia="Century Gothic" w:hAnsi="Century Gothic"/>
          <w:rtl w:val="0"/>
        </w:rPr>
        <w:t xml:space="preserve">, Grupo Vidanta ha creado una filosofía que asegura la conservación del medio ambiente y que apoya el desarrollo de las comunidades de los destinos en los que opera.</w:t>
      </w:r>
    </w:p>
    <w:p w:rsidR="00000000" w:rsidDel="00000000" w:rsidP="00000000" w:rsidRDefault="00000000" w:rsidRPr="00000000" w14:paraId="0000001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obtener más información sobre Grupo Vidanta y sus esfuerzos de sostenibilidad, por favor visite </w:t>
      </w:r>
      <w:hyperlink r:id="rId7">
        <w:r w:rsidDel="00000000" w:rsidR="00000000" w:rsidRPr="00000000">
          <w:rPr>
            <w:rFonts w:ascii="Century Gothic" w:cs="Century Gothic" w:eastAsia="Century Gothic" w:hAnsi="Century Gothic"/>
            <w:color w:val="1155cc"/>
            <w:u w:val="single"/>
            <w:rtl w:val="0"/>
          </w:rPr>
          <w:t xml:space="preserve">www.GrupoVidanta.com</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21">
      <w:pPr>
        <w:jc w:val="both"/>
        <w:rPr>
          <w:b w:val="1"/>
          <w:highlight w:val="yellow"/>
        </w:rPr>
      </w:pPr>
      <w:r w:rsidDel="00000000" w:rsidR="00000000" w:rsidRPr="00000000">
        <w:rPr>
          <w:rtl w:val="0"/>
        </w:rPr>
      </w:r>
    </w:p>
    <w:p w:rsidR="00000000" w:rsidDel="00000000" w:rsidP="00000000" w:rsidRDefault="00000000" w:rsidRPr="00000000" w14:paraId="00000022">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23">
      <w:pPr>
        <w:spacing w:line="288"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4">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Grupo Vidanta</w:t>
      </w:r>
      <w:r w:rsidDel="00000000" w:rsidR="00000000" w:rsidRPr="00000000">
        <w:rPr>
          <w:rtl w:val="0"/>
        </w:rPr>
      </w:r>
    </w:p>
    <w:p w:rsidR="00000000" w:rsidDel="00000000" w:rsidP="00000000" w:rsidRDefault="00000000" w:rsidRPr="00000000" w14:paraId="00000025">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6">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27">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8">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29">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A">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2B">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C">
      <w:pPr>
        <w:spacing w:after="20" w:lineRule="auto"/>
        <w:jc w:val="both"/>
        <w:rPr>
          <w:rFonts w:ascii="Century Gothic" w:cs="Century Gothic" w:eastAsia="Century Gothic" w:hAnsi="Century Gothic"/>
          <w:sz w:val="18"/>
          <w:szCs w:val="18"/>
        </w:rPr>
      </w:pPr>
      <w:bookmarkStart w:colFirst="0" w:colLast="0" w:name="_heading=h.30j0zll" w:id="4"/>
      <w:bookmarkEnd w:id="4"/>
      <w:r w:rsidDel="00000000" w:rsidR="00000000" w:rsidRPr="00000000">
        <w:rPr>
          <w:rFonts w:ascii="Century Gothic" w:cs="Century Gothic" w:eastAsia="Century Gothic" w:hAnsi="Century Gothic"/>
          <w:sz w:val="18"/>
          <w:szCs w:val="18"/>
          <w:rtl w:val="0"/>
        </w:rPr>
        <w:t xml:space="preserve">Nombrada durante 10 años consecutivos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2019 otorgado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2D">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E">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2F">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0">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Para obtener más información, visite </w:t>
      </w:r>
      <w:hyperlink r:id="rId8">
        <w:r w:rsidDel="00000000" w:rsidR="00000000" w:rsidRPr="00000000">
          <w:rPr>
            <w:rFonts w:ascii="Century Gothic" w:cs="Century Gothic" w:eastAsia="Century Gothic" w:hAnsi="Century Gothic"/>
            <w:color w:val="1155cc"/>
            <w:sz w:val="18"/>
            <w:szCs w:val="18"/>
            <w:u w:val="single"/>
            <w:rtl w:val="0"/>
          </w:rPr>
          <w:t xml:space="preserve">www.GrupoVidanta.com</w:t>
        </w:r>
      </w:hyperlink>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31">
      <w:pPr>
        <w:spacing w:after="20" w:lineRule="auto"/>
        <w:jc w:val="both"/>
        <w:rPr>
          <w:rFonts w:ascii="Century Gothic" w:cs="Century Gothic" w:eastAsia="Century Gothic" w:hAnsi="Century Gothic"/>
          <w:sz w:val="18"/>
          <w:szCs w:val="18"/>
          <w:highlight w:val="yellow"/>
        </w:rPr>
      </w:pPr>
      <w:r w:rsidDel="00000000" w:rsidR="00000000" w:rsidRPr="00000000">
        <w:rPr>
          <w:rtl w:val="0"/>
        </w:rPr>
      </w:r>
    </w:p>
    <w:p w:rsidR="00000000" w:rsidDel="00000000" w:rsidP="00000000" w:rsidRDefault="00000000" w:rsidRPr="00000000" w14:paraId="00000032">
      <w:pPr>
        <w:widowControl w:val="0"/>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w:t>
      </w:r>
    </w:p>
    <w:p w:rsidR="00000000" w:rsidDel="00000000" w:rsidP="00000000" w:rsidRDefault="00000000" w:rsidRPr="00000000" w14:paraId="00000034">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5">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p w:rsidR="00000000" w:rsidDel="00000000" w:rsidP="00000000" w:rsidRDefault="00000000" w:rsidRPr="00000000" w14:paraId="00000036">
      <w:pPr>
        <w:widowControl w:val="0"/>
        <w:spacing w:line="240" w:lineRule="auto"/>
        <w:jc w:val="both"/>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37">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Relations Manager</w:t>
      </w:r>
    </w:p>
    <w:p w:rsidR="00000000" w:rsidDel="00000000" w:rsidP="00000000" w:rsidRDefault="00000000" w:rsidRPr="00000000" w14:paraId="00000038">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p w:rsidR="00000000" w:rsidDel="00000000" w:rsidP="00000000" w:rsidRDefault="00000000" w:rsidRPr="00000000" w14:paraId="00000039">
      <w:pPr>
        <w:widowControl w:val="0"/>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rtl w:val="0"/>
        </w:rPr>
        <w:t xml:space="preserve">M: 04455 2270 5536</w:t>
      </w: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1662113</wp:posOffset>
          </wp:positionH>
          <wp:positionV relativeFrom="paragraph">
            <wp:posOffset>272415</wp:posOffset>
          </wp:positionV>
          <wp:extent cx="2623796" cy="615315"/>
          <wp:effectExtent b="0" l="0" r="0" t="0"/>
          <wp:wrapSquare wrapText="bothSides" distB="114300" distT="114300" distL="114300" distR="114300"/>
          <wp:docPr descr="Logo%20GV/Grupo-Vidanta.jpg" id="5" name="image1.jpg"/>
          <a:graphic>
            <a:graphicData uri="http://schemas.openxmlformats.org/drawingml/2006/picture">
              <pic:pic>
                <pic:nvPicPr>
                  <pic:cNvPr descr="Logo%20GV/Grupo-Vidanta.jpg" id="0" name="image1.jpg"/>
                  <pic:cNvPicPr preferRelativeResize="0"/>
                </pic:nvPicPr>
                <pic:blipFill>
                  <a:blip r:embed="rId1"/>
                  <a:srcRect b="38629" l="18330" r="17039" t="38866"/>
                  <a:stretch>
                    <a:fillRect/>
                  </a:stretch>
                </pic:blipFill>
                <pic:spPr>
                  <a:xfrm>
                    <a:off x="0" y="0"/>
                    <a:ext cx="2623796" cy="615315"/>
                  </a:xfrm>
                  <a:prstGeom prst="rect"/>
                  <a:ln/>
                </pic:spPr>
              </pic:pic>
            </a:graphicData>
          </a:graphic>
        </wp:anchor>
      </w:drawing>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B631A0"/>
    <w:rPr>
      <w:sz w:val="16"/>
      <w:szCs w:val="16"/>
    </w:rPr>
  </w:style>
  <w:style w:type="paragraph" w:styleId="Textocomentario">
    <w:name w:val="annotation text"/>
    <w:basedOn w:val="Normal"/>
    <w:link w:val="TextocomentarioCar"/>
    <w:uiPriority w:val="99"/>
    <w:semiHidden w:val="1"/>
    <w:unhideWhenUsed w:val="1"/>
    <w:rsid w:val="00B631A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B631A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631A0"/>
    <w:rPr>
      <w:b w:val="1"/>
      <w:bCs w:val="1"/>
    </w:rPr>
  </w:style>
  <w:style w:type="character" w:styleId="AsuntodelcomentarioCar" w:customStyle="1">
    <w:name w:val="Asunto del comentario Car"/>
    <w:basedOn w:val="TextocomentarioCar"/>
    <w:link w:val="Asuntodelcomentario"/>
    <w:uiPriority w:val="99"/>
    <w:semiHidden w:val="1"/>
    <w:rsid w:val="00B631A0"/>
    <w:rPr>
      <w:b w:val="1"/>
      <w:bCs w:val="1"/>
      <w:sz w:val="20"/>
      <w:szCs w:val="20"/>
    </w:rPr>
  </w:style>
  <w:style w:type="paragraph" w:styleId="Textodeglobo">
    <w:name w:val="Balloon Text"/>
    <w:basedOn w:val="Normal"/>
    <w:link w:val="TextodegloboCar"/>
    <w:uiPriority w:val="99"/>
    <w:semiHidden w:val="1"/>
    <w:unhideWhenUsed w:val="1"/>
    <w:rsid w:val="00B631A0"/>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B631A0"/>
    <w:rPr>
      <w:rFonts w:ascii="Times New Roman" w:cs="Times New Roman" w:hAnsi="Times New Roman"/>
      <w:sz w:val="18"/>
      <w:szCs w:val="18"/>
    </w:rPr>
  </w:style>
  <w:style w:type="paragraph" w:styleId="Prrafodelista">
    <w:name w:val="List Paragraph"/>
    <w:basedOn w:val="Normal"/>
    <w:uiPriority w:val="34"/>
    <w:qFormat w:val="1"/>
    <w:rsid w:val="00B559F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upovidanta.com/es/index.html" TargetMode="External"/><Relationship Id="rId8" Type="http://schemas.openxmlformats.org/officeDocument/2006/relationships/hyperlink" Target="http://www.grupovidan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jJmt7cHabmVwwABHn56vvy81Rg==">AMUW2mXsG2gjMzN3hMrrXNcv+dSt/km/saaJLWQ1T0+lrmS4JjOKgN4GIZYFi+DDsGLdFck7gxM18i2mAAoJBHwcXqqS1fn11xpreuJxXFmi3ZQPUU8IxI6MFMZL5CElbQVlw1N5uje6WSBth+aYtFVDd9IpkI0HkYVsilOGXEg+5XcmI9teSuY1nJFvnV7inQrxB2L/JW3S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2020-04-03T23:41:00Z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0x0101001EAD93B7C5865B4D8E6ADC84D4650D2A</vt:lpwstr>
  </property>
</Properties>
</file>